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7D033" w14:textId="02E54B2A" w:rsidR="00576B5B" w:rsidRDefault="006A3917" w:rsidP="006A3917">
      <w:pPr>
        <w:spacing w:line="360" w:lineRule="auto"/>
        <w:jc w:val="center"/>
        <w:rPr>
          <w:rFonts w:ascii="Times New Roman" w:eastAsia="宋体" w:hAnsi="Times New Roman" w:cs="Times New Roman"/>
          <w:b/>
          <w:bCs/>
          <w:sz w:val="28"/>
          <w:szCs w:val="28"/>
          <w14:ligatures w14:val="none"/>
        </w:rPr>
      </w:pPr>
      <w:r w:rsidRPr="006A3917">
        <w:rPr>
          <w:rFonts w:ascii="Times New Roman" w:eastAsia="宋体" w:hAnsi="Times New Roman" w:cs="Times New Roman"/>
          <w:b/>
          <w:bCs/>
          <w:sz w:val="28"/>
          <w:szCs w:val="28"/>
          <w14:ligatures w14:val="none"/>
        </w:rPr>
        <w:t>A new prediction model of malformation combined hearing loss risk based on machine learning and Doppler ultrasound</w:t>
      </w:r>
    </w:p>
    <w:p w14:paraId="16E0E4BA" w14:textId="75F37161" w:rsidR="006A3917" w:rsidRDefault="000532D3" w:rsidP="000532D3">
      <w:pPr>
        <w:spacing w:line="360" w:lineRule="auto"/>
        <w:jc w:val="center"/>
        <w:rPr>
          <w:rFonts w:ascii="Times New Roman" w:eastAsia="宋体" w:hAnsi="Times New Roman" w:cs="Times New Roman"/>
          <w:b/>
          <w:bCs/>
          <w:sz w:val="28"/>
          <w:szCs w:val="28"/>
          <w14:ligatures w14:val="none"/>
        </w:rPr>
      </w:pPr>
      <w:proofErr w:type="spellStart"/>
      <w:r>
        <w:rPr>
          <w:rFonts w:ascii="Times New Roman" w:hAnsi="Times New Roman" w:cs="Times New Roman" w:hint="eastAsia"/>
          <w:sz w:val="24"/>
        </w:rPr>
        <w:t>Yinchu</w:t>
      </w:r>
      <w:proofErr w:type="spellEnd"/>
      <w:r>
        <w:rPr>
          <w:rFonts w:ascii="Times New Roman" w:hAnsi="Times New Roman" w:cs="Times New Roman" w:hint="eastAsia"/>
          <w:sz w:val="24"/>
        </w:rPr>
        <w:t xml:space="preserve"> Guo</w:t>
      </w:r>
      <w:r>
        <w:rPr>
          <w:rFonts w:ascii="Times New Roman" w:hAnsi="Times New Roman" w:cs="Times New Roman"/>
          <w:sz w:val="24"/>
        </w:rPr>
        <w:t>¹</w:t>
      </w:r>
      <w:r>
        <w:rPr>
          <w:rFonts w:ascii="Times New Roman" w:hAnsi="Times New Roman" w:cs="Times New Roman" w:hint="eastAsia"/>
          <w:sz w:val="24"/>
        </w:rPr>
        <w:t xml:space="preserve"> </w:t>
      </w:r>
      <w:r w:rsidR="000B2E44">
        <w:rPr>
          <w:rFonts w:ascii="Times New Roman" w:hAnsi="Times New Roman" w:cs="Times New Roman" w:hint="eastAsia"/>
          <w:sz w:val="24"/>
        </w:rPr>
        <w:t xml:space="preserve"> </w:t>
      </w:r>
      <w:r>
        <w:rPr>
          <w:rFonts w:ascii="Times New Roman" w:hAnsi="Times New Roman" w:cs="Times New Roman" w:hint="eastAsia"/>
          <w:sz w:val="24"/>
        </w:rPr>
        <w:t xml:space="preserve"> Peng Shi</w:t>
      </w:r>
      <w:r>
        <w:rPr>
          <w:rFonts w:ascii="Times New Roman" w:hAnsi="Times New Roman" w:cs="Times New Roman"/>
          <w:sz w:val="24"/>
        </w:rPr>
        <w:t>¹</w:t>
      </w:r>
      <w:r>
        <w:rPr>
          <w:rFonts w:ascii="Times New Roman" w:hAnsi="Times New Roman" w:cs="Times New Roman" w:hint="eastAsia"/>
          <w:sz w:val="24"/>
        </w:rPr>
        <w:t xml:space="preserve">   Jiaxing Sun</w:t>
      </w:r>
      <w:r>
        <w:rPr>
          <w:rFonts w:ascii="Times New Roman" w:hAnsi="Times New Roman" w:cs="Times New Roman"/>
          <w:sz w:val="24"/>
        </w:rPr>
        <w:t>¹</w:t>
      </w:r>
      <w:r>
        <w:rPr>
          <w:rFonts w:ascii="Times New Roman" w:hAnsi="Times New Roman" w:cs="Times New Roman" w:hint="eastAsia"/>
          <w:sz w:val="24"/>
        </w:rPr>
        <w:t xml:space="preserve">  </w:t>
      </w:r>
      <w:r>
        <w:rPr>
          <w:rFonts w:ascii="Times New Roman" w:hAnsi="Times New Roman" w:cs="Times New Roman"/>
          <w:sz w:val="24"/>
        </w:rPr>
        <w:t>Zhihua Yin</w:t>
      </w:r>
      <w:r>
        <w:rPr>
          <w:rFonts w:ascii="Times New Roman" w:hAnsi="Times New Roman" w:cs="Times New Roman"/>
          <w:sz w:val="24"/>
          <w:vertAlign w:val="superscript"/>
        </w:rPr>
        <w:t>1*</w:t>
      </w:r>
    </w:p>
    <w:p w14:paraId="6DDCE2AA" w14:textId="77777777" w:rsidR="006A3917" w:rsidRDefault="006A3917" w:rsidP="00C668E6">
      <w:pPr>
        <w:spacing w:line="360" w:lineRule="auto"/>
        <w:rPr>
          <w:rFonts w:ascii="Times New Roman" w:hAnsi="Times New Roman" w:cs="Times New Roman"/>
          <w:b/>
          <w:bCs/>
          <w:sz w:val="24"/>
        </w:rPr>
      </w:pPr>
      <w:r>
        <w:rPr>
          <w:rFonts w:ascii="Times New Roman" w:hAnsi="Times New Roman" w:cs="Times New Roman"/>
          <w:b/>
          <w:bCs/>
          <w:sz w:val="24"/>
        </w:rPr>
        <w:t xml:space="preserve">Address: </w:t>
      </w:r>
    </w:p>
    <w:p w14:paraId="4513DC75" w14:textId="77777777" w:rsidR="000532D3" w:rsidRDefault="000532D3" w:rsidP="00C668E6">
      <w:pPr>
        <w:spacing w:line="360" w:lineRule="auto"/>
        <w:rPr>
          <w:rFonts w:ascii="Times New Roman" w:hAnsi="Times New Roman" w:cs="Times New Roman"/>
          <w:sz w:val="24"/>
        </w:rPr>
      </w:pPr>
      <w:r>
        <w:rPr>
          <w:rFonts w:ascii="Times New Roman" w:hAnsi="Times New Roman" w:cs="Times New Roman"/>
          <w:sz w:val="24"/>
        </w:rPr>
        <w:t>1 Department of Epidemiology, School of Public Health, China Medical University, Shenyang 110122, China;</w:t>
      </w:r>
    </w:p>
    <w:p w14:paraId="67E2303B" w14:textId="4BF15267" w:rsidR="000532D3" w:rsidRDefault="004C5F8B" w:rsidP="00C668E6">
      <w:pPr>
        <w:spacing w:line="360" w:lineRule="auto"/>
        <w:rPr>
          <w:rFonts w:ascii="Times New Roman" w:hAnsi="Times New Roman" w:cs="Times New Roman"/>
          <w:sz w:val="24"/>
        </w:rPr>
      </w:pPr>
      <w:r>
        <w:rPr>
          <w:rFonts w:ascii="Times New Roman" w:hAnsi="Times New Roman" w:cs="Times New Roman" w:hint="eastAsia"/>
          <w:sz w:val="24"/>
        </w:rPr>
        <w:t>360488360@qq.com</w:t>
      </w:r>
      <w:r w:rsidR="000532D3">
        <w:rPr>
          <w:rFonts w:ascii="Times New Roman" w:hAnsi="Times New Roman" w:cs="Times New Roman" w:hint="eastAsia"/>
          <w:sz w:val="24"/>
        </w:rPr>
        <w:t>,</w:t>
      </w:r>
      <w:r w:rsidR="000532D3" w:rsidRPr="000532D3">
        <w:rPr>
          <w:rFonts w:hint="eastAsia"/>
        </w:rPr>
        <w:t xml:space="preserve"> </w:t>
      </w:r>
      <w:r w:rsidR="000532D3" w:rsidRPr="000532D3">
        <w:rPr>
          <w:rFonts w:ascii="Times New Roman" w:hAnsi="Times New Roman" w:cs="Times New Roman" w:hint="eastAsia"/>
          <w:sz w:val="24"/>
        </w:rPr>
        <w:t>pshi@cmu.edu.cn</w:t>
      </w:r>
    </w:p>
    <w:p w14:paraId="44567D5B" w14:textId="366E545B" w:rsidR="000532D3" w:rsidRPr="000532D3" w:rsidRDefault="000532D3" w:rsidP="00C668E6">
      <w:pPr>
        <w:spacing w:line="360" w:lineRule="auto"/>
        <w:rPr>
          <w:rFonts w:ascii="Times New Roman" w:hAnsi="Times New Roman" w:cs="Times New Roman"/>
          <w:sz w:val="24"/>
        </w:rPr>
      </w:pPr>
      <w:r w:rsidRPr="000532D3">
        <w:rPr>
          <w:rFonts w:ascii="Times New Roman" w:hAnsi="Times New Roman" w:cs="Times New Roman" w:hint="eastAsia"/>
          <w:sz w:val="24"/>
        </w:rPr>
        <w:t xml:space="preserve">2 </w:t>
      </w:r>
      <w:proofErr w:type="spellStart"/>
      <w:r w:rsidRPr="000532D3">
        <w:rPr>
          <w:rFonts w:ascii="Times New Roman" w:hAnsi="Times New Roman" w:cs="Times New Roman"/>
          <w:sz w:val="24"/>
        </w:rPr>
        <w:t>Shengjing</w:t>
      </w:r>
      <w:proofErr w:type="spellEnd"/>
      <w:r w:rsidRPr="000532D3">
        <w:rPr>
          <w:rFonts w:ascii="Times New Roman" w:hAnsi="Times New Roman" w:cs="Times New Roman"/>
          <w:sz w:val="24"/>
        </w:rPr>
        <w:t xml:space="preserve"> Hospital Affiliated to China Medical University</w:t>
      </w:r>
      <w:r>
        <w:rPr>
          <w:rFonts w:ascii="Times New Roman" w:hAnsi="Times New Roman" w:cs="Times New Roman" w:hint="eastAsia"/>
          <w:sz w:val="24"/>
        </w:rPr>
        <w:t>，</w:t>
      </w:r>
      <w:r>
        <w:rPr>
          <w:rFonts w:ascii="Times New Roman" w:hAnsi="Times New Roman" w:cs="Times New Roman" w:hint="eastAsia"/>
          <w:sz w:val="24"/>
        </w:rPr>
        <w:t>Shenyang 110004</w:t>
      </w:r>
      <w:r>
        <w:rPr>
          <w:rFonts w:ascii="Times New Roman" w:hAnsi="Times New Roman" w:cs="Times New Roman" w:hint="eastAsia"/>
          <w:sz w:val="24"/>
        </w:rPr>
        <w:t>，</w:t>
      </w:r>
      <w:r>
        <w:rPr>
          <w:rFonts w:ascii="Times New Roman" w:hAnsi="Times New Roman" w:cs="Times New Roman" w:hint="eastAsia"/>
          <w:sz w:val="24"/>
        </w:rPr>
        <w:t>China</w:t>
      </w:r>
    </w:p>
    <w:p w14:paraId="3B3CB2DF" w14:textId="3479AFA8" w:rsidR="000532D3" w:rsidRDefault="000532D3" w:rsidP="00C668E6">
      <w:pPr>
        <w:spacing w:line="360" w:lineRule="auto"/>
        <w:rPr>
          <w:rFonts w:ascii="Times New Roman" w:hAnsi="Times New Roman" w:cs="Times New Roman"/>
          <w:sz w:val="24"/>
        </w:rPr>
      </w:pPr>
      <w:r w:rsidRPr="000532D3">
        <w:rPr>
          <w:rFonts w:ascii="Times New Roman" w:hAnsi="Times New Roman" w:cs="Times New Roman" w:hint="eastAsia"/>
          <w:sz w:val="24"/>
        </w:rPr>
        <w:t>sunjx@sj-hospital.org</w:t>
      </w:r>
    </w:p>
    <w:p w14:paraId="26817C8E" w14:textId="41A6E8C5" w:rsidR="000532D3" w:rsidRDefault="000532D3" w:rsidP="00C668E6">
      <w:pPr>
        <w:spacing w:line="360" w:lineRule="auto"/>
        <w:rPr>
          <w:rFonts w:ascii="Times New Roman" w:eastAsia="宋体" w:hAnsi="Times New Roman" w:cs="Times New Roman"/>
          <w:b/>
          <w:bCs/>
          <w:sz w:val="28"/>
          <w:szCs w:val="28"/>
        </w:rPr>
      </w:pPr>
      <w:r>
        <w:rPr>
          <w:rFonts w:ascii="Times New Roman" w:hAnsi="Times New Roman" w:cs="Times New Roman"/>
          <w:sz w:val="24"/>
        </w:rPr>
        <w:t>* Correspondence: Zhihua Yin; zhyin@cmu.edu.cn</w:t>
      </w:r>
    </w:p>
    <w:p w14:paraId="04BBB60E" w14:textId="77777777" w:rsidR="006A3917" w:rsidRPr="000532D3" w:rsidRDefault="006A3917" w:rsidP="006A3917">
      <w:pPr>
        <w:spacing w:line="360" w:lineRule="auto"/>
        <w:rPr>
          <w:rFonts w:ascii="Times New Roman" w:eastAsia="宋体" w:hAnsi="Times New Roman" w:cs="Times New Roman"/>
          <w:b/>
          <w:bCs/>
          <w:sz w:val="28"/>
          <w:szCs w:val="28"/>
          <w14:ligatures w14:val="none"/>
        </w:rPr>
      </w:pPr>
    </w:p>
    <w:p w14:paraId="3931207C"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2ABB7C2D"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518904E4"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1E7208C3"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4289B090"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475E5691"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6EC53FD1"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244F2C0D"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6A70397E"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21C6C45E"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7219FF83" w14:textId="77777777" w:rsidR="006A3917" w:rsidRDefault="006A3917" w:rsidP="006A3917">
      <w:pPr>
        <w:spacing w:line="360" w:lineRule="auto"/>
        <w:rPr>
          <w:rFonts w:ascii="Times New Roman" w:eastAsia="宋体" w:hAnsi="Times New Roman" w:cs="Times New Roman"/>
          <w:b/>
          <w:bCs/>
          <w:sz w:val="28"/>
          <w:szCs w:val="28"/>
          <w14:ligatures w14:val="none"/>
        </w:rPr>
      </w:pPr>
    </w:p>
    <w:p w14:paraId="6E80D5EE" w14:textId="3465B002" w:rsidR="006A3917" w:rsidRPr="00EB24E7" w:rsidRDefault="000B2E44" w:rsidP="006A3917">
      <w:pPr>
        <w:spacing w:line="360" w:lineRule="auto"/>
        <w:jc w:val="center"/>
        <w:rPr>
          <w:rFonts w:ascii="Times New Roman" w:hAnsi="Times New Roman" w:cs="Times New Roman"/>
          <w:b/>
          <w:bCs/>
          <w:sz w:val="32"/>
          <w:szCs w:val="32"/>
        </w:rPr>
      </w:pPr>
      <w:r>
        <w:rPr>
          <w:rFonts w:ascii="Times New Roman" w:eastAsia="宋体" w:hAnsi="Times New Roman" w:cs="Times New Roman"/>
          <w:b/>
          <w:bCs/>
          <w:sz w:val="28"/>
          <w:szCs w:val="28"/>
          <w14:ligatures w14:val="none"/>
        </w:rPr>
        <w:br w:type="page"/>
      </w:r>
      <w:r w:rsidR="006A3917">
        <w:rPr>
          <w:rFonts w:ascii="Times New Roman" w:hAnsi="Times New Roman" w:cs="Times New Roman"/>
          <w:b/>
          <w:bCs/>
          <w:sz w:val="32"/>
          <w:szCs w:val="32"/>
        </w:rPr>
        <w:lastRenderedPageBreak/>
        <w:t>ABSTRACT</w:t>
      </w:r>
    </w:p>
    <w:p w14:paraId="3723E492" w14:textId="77777777" w:rsidR="00630440" w:rsidRPr="00EB24E7" w:rsidRDefault="00630440" w:rsidP="00630440">
      <w:pPr>
        <w:spacing w:line="360" w:lineRule="auto"/>
        <w:jc w:val="left"/>
        <w:rPr>
          <w:rFonts w:ascii="Times New Roman" w:hAnsi="Times New Roman" w:cs="Times New Roman"/>
          <w:b/>
          <w:bCs/>
          <w:sz w:val="32"/>
          <w:szCs w:val="32"/>
        </w:rPr>
      </w:pPr>
      <w:r>
        <w:rPr>
          <w:rFonts w:ascii="Times New Roman" w:hAnsi="Times New Roman" w:cs="Times New Roman"/>
          <w:b/>
          <w:bCs/>
          <w:sz w:val="32"/>
          <w:szCs w:val="32"/>
        </w:rPr>
        <w:t>Objective:</w:t>
      </w:r>
    </w:p>
    <w:p w14:paraId="666AE328" w14:textId="7CBF6C73" w:rsidR="006A3917" w:rsidRDefault="00326A58" w:rsidP="006A3917">
      <w:pPr>
        <w:spacing w:line="360" w:lineRule="auto"/>
        <w:rPr>
          <w:rFonts w:ascii="Times New Roman" w:hAnsi="Times New Roman" w:cs="Times New Roman"/>
          <w:sz w:val="24"/>
          <w:szCs w:val="24"/>
          <w14:ligatures w14:val="none"/>
        </w:rPr>
      </w:pPr>
      <w:r w:rsidRPr="00326A58">
        <w:rPr>
          <w:rFonts w:ascii="Times New Roman" w:hAnsi="Times New Roman" w:cs="Times New Roman" w:hint="eastAsia"/>
          <w:sz w:val="24"/>
          <w:szCs w:val="24"/>
          <w14:ligatures w14:val="none"/>
        </w:rPr>
        <w:t>Congenital ear malformations combined with hearing loss are significant concerns in neonatal health, often leading to lifelong impairments if not detected early. Current diagnostic practices rely heavily on genetic screening, which is costly and inaccessible to many. Ultrasound, as a widely used prenatal screening tool, presents an opportunity for early, non-invasive diagnosis. This study aims to develop a machine learning-based predictive model using routine prenatal ultrasound data to improve the detection of fetal ear malformations and associated hearing loss, thereby providing a more accessible and cost-effective diagnostic alternative.</w:t>
      </w:r>
    </w:p>
    <w:p w14:paraId="4AD5AE0B" w14:textId="01C60568" w:rsidR="00630440" w:rsidRDefault="00630440" w:rsidP="006A3917">
      <w:pPr>
        <w:spacing w:line="360" w:lineRule="auto"/>
        <w:rPr>
          <w:rFonts w:ascii="Times New Roman" w:hAnsi="Times New Roman" w:cs="Times New Roman"/>
          <w:b/>
          <w:bCs/>
          <w:sz w:val="32"/>
          <w:szCs w:val="32"/>
        </w:rPr>
      </w:pPr>
      <w:r>
        <w:rPr>
          <w:rFonts w:ascii="Times New Roman" w:hAnsi="Times New Roman" w:cs="Times New Roman"/>
          <w:b/>
          <w:bCs/>
          <w:sz w:val="32"/>
          <w:szCs w:val="32"/>
        </w:rPr>
        <w:t>Methods:</w:t>
      </w:r>
    </w:p>
    <w:p w14:paraId="0DEF4F85" w14:textId="4C78D89A" w:rsidR="00581EE1" w:rsidRDefault="000B2E44" w:rsidP="006A3917">
      <w:pPr>
        <w:spacing w:line="360" w:lineRule="auto"/>
        <w:rPr>
          <w:rFonts w:ascii="Times New Roman" w:hAnsi="Times New Roman" w:cs="Times New Roman"/>
          <w:sz w:val="24"/>
          <w:szCs w:val="24"/>
          <w14:ligatures w14:val="none"/>
        </w:rPr>
      </w:pPr>
      <w:r w:rsidRPr="000B2E44">
        <w:rPr>
          <w:rFonts w:ascii="Times New Roman" w:hAnsi="Times New Roman" w:cs="Times New Roman" w:hint="eastAsia"/>
          <w:sz w:val="24"/>
          <w:szCs w:val="24"/>
          <w14:ligatures w14:val="none"/>
        </w:rPr>
        <w:t>The study retrospectively analyzed prenatal ultrasound data collected between 2004 and April 2024 from a tertiary hospital, resulting in 5,964 valid records after data cleaning. Key ultrasound variables, including amniotic fluid depth, umbilical artery S/D ratio, biparietal diameter, and the presence of cysts, were evaluated using logistic regression, decision trees, random forests, and BP neural networks. ROC curves and chi-square tests were employed to assess the diagnostic value of these variables. The models were trained and validated using a 7:3 data split, and the random forest model was further optimized based on the out-of-bag (OOB) score.</w:t>
      </w:r>
    </w:p>
    <w:p w14:paraId="3B69C702" w14:textId="5A749ACA" w:rsidR="00581EE1" w:rsidRDefault="00581EE1" w:rsidP="006A3917">
      <w:pPr>
        <w:spacing w:line="360" w:lineRule="auto"/>
        <w:rPr>
          <w:rFonts w:ascii="Times New Roman" w:hAnsi="Times New Roman" w:cs="Times New Roman"/>
          <w:sz w:val="32"/>
          <w:szCs w:val="32"/>
        </w:rPr>
      </w:pPr>
      <w:r>
        <w:rPr>
          <w:rFonts w:ascii="Times New Roman" w:hAnsi="Times New Roman" w:cs="Times New Roman"/>
          <w:b/>
          <w:bCs/>
          <w:sz w:val="32"/>
          <w:szCs w:val="32"/>
        </w:rPr>
        <w:t>Results</w:t>
      </w:r>
      <w:r>
        <w:rPr>
          <w:rFonts w:ascii="Times New Roman" w:hAnsi="Times New Roman" w:cs="Times New Roman"/>
          <w:sz w:val="32"/>
          <w:szCs w:val="32"/>
        </w:rPr>
        <w:t>:</w:t>
      </w:r>
    </w:p>
    <w:p w14:paraId="458E0D69" w14:textId="25CD3574" w:rsidR="000B2E44" w:rsidRPr="000B2E44" w:rsidRDefault="000B2E44" w:rsidP="000B2E44">
      <w:pPr>
        <w:spacing w:line="360" w:lineRule="auto"/>
        <w:rPr>
          <w:rFonts w:ascii="Times New Roman" w:hAnsi="Times New Roman" w:cs="Times New Roman"/>
          <w:sz w:val="24"/>
          <w:szCs w:val="24"/>
          <w14:ligatures w14:val="none"/>
        </w:rPr>
      </w:pPr>
      <w:r w:rsidRPr="000B2E44">
        <w:rPr>
          <w:rFonts w:ascii="Times New Roman" w:hAnsi="Times New Roman" w:cs="Times New Roman" w:hint="eastAsia"/>
          <w:sz w:val="24"/>
          <w:szCs w:val="24"/>
          <w14:ligatures w14:val="none"/>
        </w:rPr>
        <w:t xml:space="preserve">The analysis revealed that several ultrasound variables were significantly associated with the presence of fetal ear malformations. The BP neural network model demonstrated strong predictive performance, with an area under the ROC curve (AUC) of 0.818, reflecting its ability to accurately distinguish between cases with and without ear malformations. Specifically, the amniotic fluid depth was identified as a critical variable, with a threshold of 2.35 cm serving as a significant predictor of malformations. In the decision tree model, this threshold resulted in a classification accuracy of 96.1% for the training set and 97.3% for the test set, underscoring its reliability in clinical </w:t>
      </w:r>
      <w:r w:rsidRPr="000B2E44">
        <w:rPr>
          <w:rFonts w:ascii="Times New Roman" w:hAnsi="Times New Roman" w:cs="Times New Roman" w:hint="eastAsia"/>
          <w:sz w:val="24"/>
          <w:szCs w:val="24"/>
          <w14:ligatures w14:val="none"/>
        </w:rPr>
        <w:lastRenderedPageBreak/>
        <w:t>application.</w:t>
      </w:r>
    </w:p>
    <w:p w14:paraId="63499A68" w14:textId="2DCA0ACF" w:rsidR="000B2E44" w:rsidRPr="000B2E44" w:rsidRDefault="000B2E44" w:rsidP="000B2E44">
      <w:pPr>
        <w:spacing w:line="360" w:lineRule="auto"/>
        <w:rPr>
          <w:rFonts w:ascii="Times New Roman" w:hAnsi="Times New Roman" w:cs="Times New Roman"/>
          <w:sz w:val="24"/>
          <w:szCs w:val="24"/>
          <w14:ligatures w14:val="none"/>
        </w:rPr>
      </w:pPr>
      <w:r w:rsidRPr="000B2E44">
        <w:rPr>
          <w:rFonts w:ascii="Times New Roman" w:hAnsi="Times New Roman" w:cs="Times New Roman" w:hint="eastAsia"/>
          <w:sz w:val="24"/>
          <w:szCs w:val="24"/>
          <w14:ligatures w14:val="none"/>
        </w:rPr>
        <w:t>The random forest model further validated these findings, achieving a prediction accuracy of 97.3% across the dataset. The model</w:t>
      </w:r>
      <w:proofErr w:type="gramStart"/>
      <w:r w:rsidRPr="000B2E44">
        <w:rPr>
          <w:rFonts w:ascii="Times New Roman" w:hAnsi="Times New Roman" w:cs="Times New Roman" w:hint="eastAsia"/>
          <w:sz w:val="24"/>
          <w:szCs w:val="24"/>
          <w14:ligatures w14:val="none"/>
        </w:rPr>
        <w:t>’</w:t>
      </w:r>
      <w:proofErr w:type="gramEnd"/>
      <w:r w:rsidRPr="000B2E44">
        <w:rPr>
          <w:rFonts w:ascii="Times New Roman" w:hAnsi="Times New Roman" w:cs="Times New Roman" w:hint="eastAsia"/>
          <w:sz w:val="24"/>
          <w:szCs w:val="24"/>
          <w14:ligatures w14:val="none"/>
        </w:rPr>
        <w:t>s stability was confirmed by an out-of-bag (OOB) score of 0.977, indicating minimal variance and robust performance. In terms of variable importance, amniotic fluid depth had the highest mean decrease in accuracy (0.025), followed by the umbilical artery S/D ratio (0.021) and the presence of cysts (0.019). These variables consistently emerged as the most influential predictors across all models</w:t>
      </w:r>
      <w:r>
        <w:rPr>
          <w:rFonts w:ascii="Times New Roman" w:hAnsi="Times New Roman" w:cs="Times New Roman" w:hint="eastAsia"/>
          <w:sz w:val="24"/>
          <w:szCs w:val="24"/>
          <w14:ligatures w14:val="none"/>
        </w:rPr>
        <w:t xml:space="preserve"> (s</w:t>
      </w:r>
      <w:r w:rsidRPr="006F02FF">
        <w:rPr>
          <w:rFonts w:ascii="Times New Roman" w:hAnsi="Times New Roman" w:cs="Times New Roman" w:hint="eastAsia"/>
          <w:sz w:val="24"/>
          <w:szCs w:val="24"/>
          <w14:ligatures w14:val="none"/>
        </w:rPr>
        <w:t xml:space="preserve">ome of the results are shown in </w:t>
      </w:r>
      <w:r w:rsidRPr="006E0E39">
        <w:rPr>
          <w:rFonts w:ascii="Times New Roman" w:hAnsi="Times New Roman" w:cs="Times New Roman" w:hint="eastAsia"/>
          <w:b/>
          <w:bCs/>
          <w:sz w:val="24"/>
          <w:szCs w:val="24"/>
          <w14:ligatures w14:val="none"/>
        </w:rPr>
        <w:t>Figure 1</w:t>
      </w:r>
      <w:r>
        <w:rPr>
          <w:rFonts w:ascii="Times New Roman" w:hAnsi="Times New Roman" w:cs="Times New Roman" w:hint="eastAsia"/>
          <w:sz w:val="24"/>
          <w:szCs w:val="24"/>
          <w14:ligatures w14:val="none"/>
        </w:rPr>
        <w:t>)</w:t>
      </w:r>
      <w:r w:rsidRPr="000B2E44">
        <w:rPr>
          <w:rFonts w:ascii="Times New Roman" w:hAnsi="Times New Roman" w:cs="Times New Roman" w:hint="eastAsia"/>
          <w:sz w:val="24"/>
          <w:szCs w:val="24"/>
          <w14:ligatures w14:val="none"/>
        </w:rPr>
        <w:t>.</w:t>
      </w:r>
    </w:p>
    <w:p w14:paraId="5E9160E1" w14:textId="17519FCA" w:rsidR="000B2E44" w:rsidRPr="000B2E44" w:rsidRDefault="000B2E44" w:rsidP="000B2E44">
      <w:pPr>
        <w:spacing w:line="360" w:lineRule="auto"/>
        <w:rPr>
          <w:rFonts w:ascii="Times New Roman" w:hAnsi="Times New Roman" w:cs="Times New Roman"/>
          <w:sz w:val="24"/>
          <w:szCs w:val="24"/>
          <w14:ligatures w14:val="none"/>
        </w:rPr>
      </w:pPr>
      <w:r w:rsidRPr="000B2E44">
        <w:rPr>
          <w:rFonts w:ascii="Times New Roman" w:hAnsi="Times New Roman" w:cs="Times New Roman" w:hint="eastAsia"/>
          <w:sz w:val="24"/>
          <w:szCs w:val="24"/>
          <w14:ligatures w14:val="none"/>
        </w:rPr>
        <w:t>Furthermore, the chi-square tests indicated statistically significant associations between these key variables and the presence of ear malformations (</w:t>
      </w:r>
      <w:r w:rsidRPr="00C668E6">
        <w:rPr>
          <w:rFonts w:ascii="Times New Roman" w:hAnsi="Times New Roman" w:cs="Times New Roman"/>
          <w:i/>
          <w:iCs/>
          <w:sz w:val="24"/>
          <w:szCs w:val="24"/>
          <w14:ligatures w14:val="none"/>
        </w:rPr>
        <w:t xml:space="preserve">P </w:t>
      </w:r>
      <w:r w:rsidRPr="000B2E44">
        <w:rPr>
          <w:rFonts w:ascii="Times New Roman" w:hAnsi="Times New Roman" w:cs="Times New Roman" w:hint="eastAsia"/>
          <w:sz w:val="24"/>
          <w:szCs w:val="24"/>
          <w14:ligatures w14:val="none"/>
        </w:rPr>
        <w:t>&lt; 0.05). For example, the analysis showed that cases with abnormal amniotic fluid depth had a 3.2-fold increased risk of ear malformations (95% CI: 2.4-4.3). Similarly, an elevated umbilical artery S/D ratio was associated with a 2.8-fold increased risk (95% CI: 2.1-3.7), and the presence of cysts around the ear increased the risk by 4.5-fold (95% CI: 3.3-6.1).</w:t>
      </w:r>
    </w:p>
    <w:p w14:paraId="6EB9B545" w14:textId="0A3E8C68" w:rsidR="000B2E44" w:rsidRDefault="000B2E44" w:rsidP="000B2E44">
      <w:pPr>
        <w:spacing w:line="360" w:lineRule="auto"/>
        <w:rPr>
          <w:rFonts w:ascii="Times New Roman" w:hAnsi="Times New Roman" w:cs="Times New Roman"/>
          <w:sz w:val="24"/>
          <w:szCs w:val="24"/>
          <w14:ligatures w14:val="none"/>
        </w:rPr>
      </w:pPr>
      <w:r w:rsidRPr="000B2E44">
        <w:rPr>
          <w:rFonts w:ascii="Times New Roman" w:hAnsi="Times New Roman" w:cs="Times New Roman" w:hint="eastAsia"/>
          <w:sz w:val="24"/>
          <w:szCs w:val="24"/>
          <w14:ligatures w14:val="none"/>
        </w:rPr>
        <w:t>In contrast, traditionally measured variables such as biparietal diameter, placental thickness, and placental maturity were found to have weaker associations with ear malformations, with AUC values below 0.60, indicating limited diagnostic utility. These findings suggest that while these variables are important in general prenatal assessments, they may not be as relevant for predicting ear abnormalities.</w:t>
      </w:r>
    </w:p>
    <w:p w14:paraId="37CFED42" w14:textId="77777777" w:rsidR="00AF3B1A" w:rsidRPr="00DE7E19" w:rsidRDefault="00AF3B1A" w:rsidP="00AF3B1A">
      <w:pPr>
        <w:spacing w:line="360" w:lineRule="auto"/>
        <w:rPr>
          <w:rFonts w:ascii="Times New Roman" w:hAnsi="Times New Roman" w:cs="Times New Roman"/>
          <w:b/>
          <w:bCs/>
          <w:sz w:val="32"/>
          <w:szCs w:val="32"/>
        </w:rPr>
      </w:pPr>
      <w:r w:rsidRPr="00DE7E19">
        <w:rPr>
          <w:rFonts w:ascii="Times New Roman" w:hAnsi="Times New Roman" w:cs="Times New Roman"/>
          <w:b/>
          <w:bCs/>
          <w:sz w:val="32"/>
          <w:szCs w:val="32"/>
        </w:rPr>
        <w:t xml:space="preserve">Conclusion: </w:t>
      </w:r>
    </w:p>
    <w:p w14:paraId="538FE757" w14:textId="4F8267B9" w:rsidR="000B2E44" w:rsidRDefault="000B2E44" w:rsidP="006A3917">
      <w:pPr>
        <w:spacing w:line="360" w:lineRule="auto"/>
        <w:rPr>
          <w:rFonts w:ascii="Times New Roman" w:hAnsi="Times New Roman" w:cs="Times New Roman"/>
          <w:sz w:val="24"/>
          <w:szCs w:val="24"/>
          <w14:ligatures w14:val="none"/>
        </w:rPr>
      </w:pPr>
      <w:r w:rsidRPr="000B2E44">
        <w:rPr>
          <w:rFonts w:ascii="Times New Roman" w:hAnsi="Times New Roman" w:cs="Times New Roman" w:hint="eastAsia"/>
          <w:sz w:val="24"/>
          <w:szCs w:val="24"/>
          <w14:ligatures w14:val="none"/>
        </w:rPr>
        <w:t>Using routine prenatal ultrasound data, this study developed a robust predictive model for diagnosing congenital ear malformations and hearing loss. Integrating key indicators such as amniotic fluid depth, umbilical artery S/D ratio, and cyst presence into diagnostic practices can significantly enhance early detection, offering a viable alternative to genetic screening. Further research with larger datasets is needed to validate these findings and improve the model</w:t>
      </w:r>
      <w:proofErr w:type="gramStart"/>
      <w:r w:rsidRPr="000B2E44">
        <w:rPr>
          <w:rFonts w:ascii="Times New Roman" w:hAnsi="Times New Roman" w:cs="Times New Roman" w:hint="eastAsia"/>
          <w:sz w:val="24"/>
          <w:szCs w:val="24"/>
          <w14:ligatures w14:val="none"/>
        </w:rPr>
        <w:t>’</w:t>
      </w:r>
      <w:proofErr w:type="gramEnd"/>
      <w:r w:rsidRPr="000B2E44">
        <w:rPr>
          <w:rFonts w:ascii="Times New Roman" w:hAnsi="Times New Roman" w:cs="Times New Roman" w:hint="eastAsia"/>
          <w:sz w:val="24"/>
          <w:szCs w:val="24"/>
          <w14:ligatures w14:val="none"/>
        </w:rPr>
        <w:t>s generalizability.</w:t>
      </w:r>
      <w:r>
        <w:rPr>
          <w:rFonts w:ascii="Times New Roman" w:hAnsi="Times New Roman" w:cs="Times New Roman" w:hint="eastAsia"/>
          <w:sz w:val="24"/>
          <w:szCs w:val="24"/>
          <w14:ligatures w14:val="none"/>
        </w:rPr>
        <w:t xml:space="preserve"> </w:t>
      </w:r>
    </w:p>
    <w:p w14:paraId="57EF0976" w14:textId="148BC15C" w:rsidR="00DC1566" w:rsidRDefault="00DC1566" w:rsidP="00DC1566">
      <w:pPr>
        <w:spacing w:line="360" w:lineRule="auto"/>
        <w:rPr>
          <w:rFonts w:ascii="Times New Roman" w:hAnsi="Times New Roman" w:cs="Times New Roman"/>
          <w:sz w:val="24"/>
          <w:szCs w:val="24"/>
          <w14:ligatures w14:val="none"/>
        </w:rPr>
      </w:pPr>
      <w:r>
        <w:rPr>
          <w:rFonts w:ascii="Times New Roman" w:hAnsi="Times New Roman" w:cs="Times New Roman"/>
          <w:b/>
          <w:bCs/>
          <w:sz w:val="24"/>
        </w:rPr>
        <w:t>Key Words:</w:t>
      </w:r>
      <w:r>
        <w:rPr>
          <w:rFonts w:ascii="Times New Roman" w:hAnsi="Times New Roman" w:cs="Times New Roman" w:hint="eastAsia"/>
          <w:b/>
          <w:bCs/>
          <w:sz w:val="24"/>
        </w:rPr>
        <w:t xml:space="preserve"> </w:t>
      </w:r>
      <w:r w:rsidRPr="00DC1566">
        <w:rPr>
          <w:rFonts w:ascii="Times New Roman" w:hAnsi="Times New Roman" w:cs="Times New Roman" w:hint="eastAsia"/>
          <w:sz w:val="24"/>
          <w:szCs w:val="24"/>
          <w14:ligatures w14:val="none"/>
        </w:rPr>
        <w:t>Machine learning; ultrasound diagnosis; disease risk prediction; Congenital ear malformations</w:t>
      </w:r>
    </w:p>
    <w:p w14:paraId="04A56513" w14:textId="06FC28D6" w:rsidR="003462B3" w:rsidRPr="00DC1566" w:rsidRDefault="003462B3" w:rsidP="006A3917">
      <w:pPr>
        <w:spacing w:line="360" w:lineRule="auto"/>
        <w:rPr>
          <w:rFonts w:ascii="Times New Roman" w:hAnsi="Times New Roman" w:cs="Times New Roman"/>
          <w:sz w:val="24"/>
          <w:szCs w:val="24"/>
          <w14:ligatures w14:val="none"/>
        </w:rPr>
      </w:pPr>
    </w:p>
    <w:p w14:paraId="2128D84F" w14:textId="17F82885" w:rsidR="003462B3" w:rsidRPr="00630440" w:rsidRDefault="003462B3" w:rsidP="006A3917">
      <w:pPr>
        <w:spacing w:line="360" w:lineRule="auto"/>
        <w:rPr>
          <w:rFonts w:ascii="Times New Roman" w:hAnsi="Times New Roman" w:cs="Times New Roman"/>
          <w:sz w:val="24"/>
          <w:szCs w:val="24"/>
          <w14:ligatures w14:val="none"/>
        </w:rPr>
      </w:pPr>
      <w:r>
        <w:rPr>
          <w:noProof/>
        </w:rPr>
        <w:lastRenderedPageBreak/>
        <mc:AlternateContent>
          <mc:Choice Requires="wps">
            <w:drawing>
              <wp:anchor distT="0" distB="0" distL="114300" distR="114300" simplePos="0" relativeHeight="251661312" behindDoc="0" locked="0" layoutInCell="1" allowOverlap="1" wp14:anchorId="48778E47" wp14:editId="04C89F3E">
                <wp:simplePos x="0" y="0"/>
                <wp:positionH relativeFrom="column">
                  <wp:posOffset>235585</wp:posOffset>
                </wp:positionH>
                <wp:positionV relativeFrom="paragraph">
                  <wp:posOffset>8467725</wp:posOffset>
                </wp:positionV>
                <wp:extent cx="4803140" cy="635"/>
                <wp:effectExtent l="0" t="0" r="0" b="0"/>
                <wp:wrapTopAndBottom/>
                <wp:docPr id="654733373" name="文本框 1"/>
                <wp:cNvGraphicFramePr/>
                <a:graphic xmlns:a="http://schemas.openxmlformats.org/drawingml/2006/main">
                  <a:graphicData uri="http://schemas.microsoft.com/office/word/2010/wordprocessingShape">
                    <wps:wsp>
                      <wps:cNvSpPr txBox="1"/>
                      <wps:spPr>
                        <a:xfrm>
                          <a:off x="0" y="0"/>
                          <a:ext cx="4803140" cy="635"/>
                        </a:xfrm>
                        <a:prstGeom prst="rect">
                          <a:avLst/>
                        </a:prstGeom>
                        <a:solidFill>
                          <a:prstClr val="white"/>
                        </a:solidFill>
                        <a:ln>
                          <a:noFill/>
                        </a:ln>
                      </wps:spPr>
                      <wps:txbx>
                        <w:txbxContent>
                          <w:p w14:paraId="756B35A6" w14:textId="2E67650B" w:rsidR="003462B3" w:rsidRDefault="003462B3" w:rsidP="0059608F">
                            <w:pPr>
                              <w:pStyle w:val="Caption"/>
                              <w:jc w:val="center"/>
                              <w:rPr>
                                <w:noProof/>
                              </w:rPr>
                            </w:pPr>
                            <w:r w:rsidRPr="003462B3">
                              <w:rPr>
                                <w:rFonts w:ascii="Times New Roman" w:hAnsi="Times New Roman" w:cs="Times New Roman" w:hint="eastAsia"/>
                                <w:sz w:val="24"/>
                                <w:szCs w:val="24"/>
                                <w14:ligatures w14:val="none"/>
                              </w:rPr>
                              <w:t xml:space="preserve">Fig </w:t>
                            </w:r>
                            <w:r w:rsidRPr="003462B3">
                              <w:rPr>
                                <w:rFonts w:ascii="Times New Roman" w:hAnsi="Times New Roman" w:cs="Times New Roman" w:hint="eastAsia"/>
                                <w:sz w:val="24"/>
                                <w:szCs w:val="24"/>
                                <w14:ligatures w14:val="none"/>
                              </w:rPr>
                              <w:fldChar w:fldCharType="begin"/>
                            </w:r>
                            <w:r w:rsidRPr="003462B3">
                              <w:rPr>
                                <w:rFonts w:ascii="Times New Roman" w:hAnsi="Times New Roman" w:cs="Times New Roman" w:hint="eastAsia"/>
                                <w:sz w:val="24"/>
                                <w:szCs w:val="24"/>
                                <w14:ligatures w14:val="none"/>
                              </w:rPr>
                              <w:instrText xml:space="preserve"> SEQ Fig \* ARABIC </w:instrText>
                            </w:r>
                            <w:r w:rsidRPr="003462B3">
                              <w:rPr>
                                <w:rFonts w:ascii="Times New Roman" w:hAnsi="Times New Roman" w:cs="Times New Roman" w:hint="eastAsia"/>
                                <w:sz w:val="24"/>
                                <w:szCs w:val="24"/>
                                <w14:ligatures w14:val="none"/>
                              </w:rPr>
                              <w:fldChar w:fldCharType="separate"/>
                            </w:r>
                            <w:r w:rsidRPr="003462B3">
                              <w:rPr>
                                <w:rFonts w:ascii="Times New Roman" w:hAnsi="Times New Roman" w:cs="Times New Roman" w:hint="eastAsia"/>
                                <w:sz w:val="24"/>
                                <w:szCs w:val="24"/>
                                <w14:ligatures w14:val="none"/>
                              </w:rPr>
                              <w:t>1</w:t>
                            </w:r>
                            <w:r w:rsidRPr="003462B3">
                              <w:rPr>
                                <w:rFonts w:ascii="Times New Roman" w:hAnsi="Times New Roman" w:cs="Times New Roman" w:hint="eastAsia"/>
                                <w:sz w:val="24"/>
                                <w:szCs w:val="24"/>
                                <w14:ligatures w14:val="none"/>
                              </w:rPr>
                              <w:fldChar w:fldCharType="end"/>
                            </w:r>
                            <w:r w:rsidRPr="003462B3">
                              <w:rPr>
                                <w:rFonts w:ascii="Times New Roman" w:hAnsi="Times New Roman" w:cs="Times New Roman" w:hint="eastAsia"/>
                                <w:sz w:val="24"/>
                                <w:szCs w:val="24"/>
                                <w14:ligatures w14:val="none"/>
                              </w:rPr>
                              <w:t xml:space="preserve"> </w:t>
                            </w:r>
                            <w:r w:rsidRPr="00AF3B1A">
                              <w:rPr>
                                <w:rFonts w:ascii="Times New Roman" w:hAnsi="Times New Roman" w:cs="Times New Roman" w:hint="eastAsia"/>
                                <w:sz w:val="24"/>
                                <w:szCs w:val="24"/>
                                <w14:ligatures w14:val="none"/>
                              </w:rPr>
                              <w:t>The decision tree and random forest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48778E47" id="_x0000_t202" coordsize="21600,21600" o:spt="202" path="m,l,21600r21600,l21600,xe">
                <v:stroke joinstyle="miter"/>
                <v:path gradientshapeok="t" o:connecttype="rect"/>
              </v:shapetype>
              <v:shape id="文本框 1" o:spid="_x0000_s1026" type="#_x0000_t202" style="position:absolute;left:0;text-align:left;margin-left:18.55pt;margin-top:666.75pt;width:378.2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" stroked="f">
                <v:textbox style="mso-fit-shape-to-text:t" inset="0,0,0,0">
                  <w:txbxContent>
                    <w:p w14:paraId="756B35A6" w14:textId="2E67650B" w:rsidR="003462B3" w:rsidRDefault="003462B3" w:rsidP="0059608F">
                      <w:pPr>
                        <w:pStyle w:val="a7"/>
                        <w:jc w:val="center"/>
                        <w:rPr>
                          <w:rFonts w:hint="eastAsia"/>
                          <w:noProof/>
                        </w:rPr>
                      </w:pPr>
                      <w:r w:rsidRPr="003462B3">
                        <w:rPr>
                          <w:rFonts w:ascii="Times New Roman" w:hAnsi="Times New Roman" w:cs="Times New Roman" w:hint="eastAsia"/>
                          <w:sz w:val="24"/>
                          <w:szCs w:val="24"/>
                          <w14:ligatures w14:val="none"/>
                        </w:rPr>
                        <w:t xml:space="preserve">Fig </w:t>
                      </w:r>
                      <w:r w:rsidRPr="003462B3">
                        <w:rPr>
                          <w:rFonts w:ascii="Times New Roman" w:hAnsi="Times New Roman" w:cs="Times New Roman" w:hint="eastAsia"/>
                          <w:sz w:val="24"/>
                          <w:szCs w:val="24"/>
                          <w14:ligatures w14:val="none"/>
                        </w:rPr>
                        <w:fldChar w:fldCharType="begin"/>
                      </w:r>
                      <w:r w:rsidRPr="003462B3">
                        <w:rPr>
                          <w:rFonts w:ascii="Times New Roman" w:hAnsi="Times New Roman" w:cs="Times New Roman" w:hint="eastAsia"/>
                          <w:sz w:val="24"/>
                          <w:szCs w:val="24"/>
                          <w14:ligatures w14:val="none"/>
                        </w:rPr>
                        <w:instrText xml:space="preserve"> SEQ Fig \* ARABIC </w:instrText>
                      </w:r>
                      <w:r w:rsidRPr="003462B3">
                        <w:rPr>
                          <w:rFonts w:ascii="Times New Roman" w:hAnsi="Times New Roman" w:cs="Times New Roman" w:hint="eastAsia"/>
                          <w:sz w:val="24"/>
                          <w:szCs w:val="24"/>
                          <w14:ligatures w14:val="none"/>
                        </w:rPr>
                        <w:fldChar w:fldCharType="separate"/>
                      </w:r>
                      <w:r w:rsidRPr="003462B3">
                        <w:rPr>
                          <w:rFonts w:ascii="Times New Roman" w:hAnsi="Times New Roman" w:cs="Times New Roman" w:hint="eastAsia"/>
                          <w:sz w:val="24"/>
                          <w:szCs w:val="24"/>
                          <w14:ligatures w14:val="none"/>
                        </w:rPr>
                        <w:t>1</w:t>
                      </w:r>
                      <w:r w:rsidRPr="003462B3">
                        <w:rPr>
                          <w:rFonts w:ascii="Times New Roman" w:hAnsi="Times New Roman" w:cs="Times New Roman" w:hint="eastAsia"/>
                          <w:sz w:val="24"/>
                          <w:szCs w:val="24"/>
                          <w14:ligatures w14:val="none"/>
                        </w:rPr>
                        <w:fldChar w:fldCharType="end"/>
                      </w:r>
                      <w:r w:rsidRPr="003462B3">
                        <w:rPr>
                          <w:rFonts w:ascii="Times New Roman" w:hAnsi="Times New Roman" w:cs="Times New Roman" w:hint="eastAsia"/>
                          <w:sz w:val="24"/>
                          <w:szCs w:val="24"/>
                          <w14:ligatures w14:val="none"/>
                        </w:rPr>
                        <w:t xml:space="preserve"> </w:t>
                      </w:r>
                      <w:r w:rsidRPr="00AF3B1A">
                        <w:rPr>
                          <w:rFonts w:ascii="Times New Roman" w:hAnsi="Times New Roman" w:cs="Times New Roman" w:hint="eastAsia"/>
                          <w:sz w:val="24"/>
                          <w:szCs w:val="24"/>
                          <w14:ligatures w14:val="none"/>
                        </w:rPr>
                        <w:t>The decision tree and random forest</w:t>
                      </w:r>
                    </w:p>
                  </w:txbxContent>
                </v:textbox>
                <w10:wrap type="topAndBottom"/>
              </v:shape>
            </w:pict>
          </mc:Fallback>
        </mc:AlternateContent>
      </w:r>
      <w:r>
        <w:rPr>
          <w:noProof/>
        </w:rPr>
        <w:drawing>
          <wp:anchor distT="0" distB="0" distL="114300" distR="114300" simplePos="0" relativeHeight="251659264" behindDoc="0" locked="0" layoutInCell="1" allowOverlap="1" wp14:anchorId="5CE695C0" wp14:editId="218D417E">
            <wp:simplePos x="0" y="0"/>
            <wp:positionH relativeFrom="margin">
              <wp:align>center</wp:align>
            </wp:positionH>
            <wp:positionV relativeFrom="paragraph">
              <wp:posOffset>471</wp:posOffset>
            </wp:positionV>
            <wp:extent cx="4803140" cy="8410575"/>
            <wp:effectExtent l="0" t="0" r="0" b="9525"/>
            <wp:wrapTopAndBottom/>
            <wp:docPr id="10316551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655173" name=""/>
                    <pic:cNvPicPr/>
                  </pic:nvPicPr>
                  <pic:blipFill>
                    <a:blip r:embed="rId6">
                      <a:extLst>
                        <a:ext uri="{28A0092B-C50C-407E-A947-70E740481C1C}">
                          <a14:useLocalDpi xmlns:a14="http://schemas.microsoft.com/office/drawing/2010/main" val="0"/>
                        </a:ext>
                      </a:extLst>
                    </a:blip>
                    <a:stretch>
                      <a:fillRect/>
                    </a:stretch>
                  </pic:blipFill>
                  <pic:spPr>
                    <a:xfrm>
                      <a:off x="0" y="0"/>
                      <a:ext cx="4803140" cy="8410575"/>
                    </a:xfrm>
                    <a:prstGeom prst="rect">
                      <a:avLst/>
                    </a:prstGeom>
                  </pic:spPr>
                </pic:pic>
              </a:graphicData>
            </a:graphic>
            <wp14:sizeRelH relativeFrom="margin">
              <wp14:pctWidth>0</wp14:pctWidth>
            </wp14:sizeRelH>
            <wp14:sizeRelV relativeFrom="margin">
              <wp14:pctHeight>0</wp14:pctHeight>
            </wp14:sizeRelV>
          </wp:anchor>
        </w:drawing>
      </w:r>
    </w:p>
    <w:sectPr w:rsidR="003462B3" w:rsidRPr="006304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67244" w14:textId="77777777" w:rsidR="00C33893" w:rsidRDefault="00C33893" w:rsidP="006A3917">
      <w:r>
        <w:separator/>
      </w:r>
    </w:p>
  </w:endnote>
  <w:endnote w:type="continuationSeparator" w:id="0">
    <w:p w14:paraId="6C5A6BCA" w14:textId="77777777" w:rsidR="00C33893" w:rsidRDefault="00C33893" w:rsidP="006A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25E6" w14:textId="77777777" w:rsidR="00C33893" w:rsidRDefault="00C33893" w:rsidP="006A3917">
      <w:r>
        <w:separator/>
      </w:r>
    </w:p>
  </w:footnote>
  <w:footnote w:type="continuationSeparator" w:id="0">
    <w:p w14:paraId="077096C6" w14:textId="77777777" w:rsidR="00C33893" w:rsidRDefault="00C33893" w:rsidP="006A39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B5B"/>
    <w:rsid w:val="000029CF"/>
    <w:rsid w:val="000532D3"/>
    <w:rsid w:val="000B2E44"/>
    <w:rsid w:val="00114E68"/>
    <w:rsid w:val="00284594"/>
    <w:rsid w:val="00326A58"/>
    <w:rsid w:val="003462B3"/>
    <w:rsid w:val="0037077C"/>
    <w:rsid w:val="004142ED"/>
    <w:rsid w:val="004B4435"/>
    <w:rsid w:val="004C527F"/>
    <w:rsid w:val="004C5725"/>
    <w:rsid w:val="004C5F8B"/>
    <w:rsid w:val="005163DD"/>
    <w:rsid w:val="00576B5B"/>
    <w:rsid w:val="00581EE1"/>
    <w:rsid w:val="0059608F"/>
    <w:rsid w:val="005F012E"/>
    <w:rsid w:val="00630440"/>
    <w:rsid w:val="00684844"/>
    <w:rsid w:val="006A3917"/>
    <w:rsid w:val="006E0E39"/>
    <w:rsid w:val="006F02FF"/>
    <w:rsid w:val="006F7F5E"/>
    <w:rsid w:val="008308FC"/>
    <w:rsid w:val="00945EA4"/>
    <w:rsid w:val="009A46F8"/>
    <w:rsid w:val="009A6AE0"/>
    <w:rsid w:val="00AF3B1A"/>
    <w:rsid w:val="00C33893"/>
    <w:rsid w:val="00C6685B"/>
    <w:rsid w:val="00C668E6"/>
    <w:rsid w:val="00C75E1A"/>
    <w:rsid w:val="00DC1566"/>
    <w:rsid w:val="00FF4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4E956"/>
  <w15:chartTrackingRefBased/>
  <w15:docId w15:val="{DAD54123-8A8E-463E-875E-885F63E60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3917"/>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A3917"/>
    <w:rPr>
      <w:sz w:val="18"/>
      <w:szCs w:val="18"/>
    </w:rPr>
  </w:style>
  <w:style w:type="paragraph" w:styleId="Footer">
    <w:name w:val="footer"/>
    <w:basedOn w:val="Normal"/>
    <w:link w:val="FooterChar"/>
    <w:uiPriority w:val="99"/>
    <w:unhideWhenUsed/>
    <w:rsid w:val="006A391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A3917"/>
    <w:rPr>
      <w:sz w:val="18"/>
      <w:szCs w:val="18"/>
    </w:rPr>
  </w:style>
  <w:style w:type="paragraph" w:styleId="Caption">
    <w:name w:val="caption"/>
    <w:basedOn w:val="Normal"/>
    <w:next w:val="Normal"/>
    <w:uiPriority w:val="35"/>
    <w:unhideWhenUsed/>
    <w:qFormat/>
    <w:rsid w:val="003462B3"/>
    <w:rPr>
      <w:rFonts w:asciiTheme="majorHAnsi" w:eastAsia="黑体" w:hAnsiTheme="majorHAnsi" w:cstheme="majorBidi"/>
      <w:sz w:val="20"/>
      <w:szCs w:val="20"/>
    </w:rPr>
  </w:style>
  <w:style w:type="paragraph" w:styleId="Revision">
    <w:name w:val="Revision"/>
    <w:hidden/>
    <w:uiPriority w:val="99"/>
    <w:semiHidden/>
    <w:rsid w:val="000B2E44"/>
  </w:style>
  <w:style w:type="character" w:styleId="CommentReference">
    <w:name w:val="annotation reference"/>
    <w:basedOn w:val="DefaultParagraphFont"/>
    <w:uiPriority w:val="99"/>
    <w:semiHidden/>
    <w:unhideWhenUsed/>
    <w:rsid w:val="00326A58"/>
    <w:rPr>
      <w:sz w:val="21"/>
      <w:szCs w:val="21"/>
    </w:rPr>
  </w:style>
  <w:style w:type="paragraph" w:styleId="CommentText">
    <w:name w:val="annotation text"/>
    <w:basedOn w:val="Normal"/>
    <w:link w:val="CommentTextChar"/>
    <w:uiPriority w:val="99"/>
    <w:semiHidden/>
    <w:unhideWhenUsed/>
    <w:rsid w:val="00326A58"/>
    <w:pPr>
      <w:jc w:val="left"/>
    </w:pPr>
  </w:style>
  <w:style w:type="character" w:customStyle="1" w:styleId="CommentTextChar">
    <w:name w:val="Comment Text Char"/>
    <w:basedOn w:val="DefaultParagraphFont"/>
    <w:link w:val="CommentText"/>
    <w:uiPriority w:val="99"/>
    <w:semiHidden/>
    <w:rsid w:val="00326A58"/>
  </w:style>
  <w:style w:type="paragraph" w:styleId="CommentSubject">
    <w:name w:val="annotation subject"/>
    <w:basedOn w:val="CommentText"/>
    <w:next w:val="CommentText"/>
    <w:link w:val="CommentSubjectChar"/>
    <w:uiPriority w:val="99"/>
    <w:semiHidden/>
    <w:unhideWhenUsed/>
    <w:rsid w:val="00326A58"/>
    <w:rPr>
      <w:b/>
      <w:bCs/>
    </w:rPr>
  </w:style>
  <w:style w:type="character" w:customStyle="1" w:styleId="CommentSubjectChar">
    <w:name w:val="Comment Subject Char"/>
    <w:basedOn w:val="CommentTextChar"/>
    <w:link w:val="CommentSubject"/>
    <w:uiPriority w:val="99"/>
    <w:semiHidden/>
    <w:rsid w:val="00326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胤初 郭</dc:creator>
  <cp:keywords/>
  <dc:description/>
  <cp:lastModifiedBy>Yuting Han</cp:lastModifiedBy>
  <cp:revision>15</cp:revision>
  <dcterms:created xsi:type="dcterms:W3CDTF">2024-08-14T02:09:00Z</dcterms:created>
  <dcterms:modified xsi:type="dcterms:W3CDTF">2024-10-12T07:27:00Z</dcterms:modified>
</cp:coreProperties>
</file>